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постановление губернатора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от 06.11.2020 </w:t>
      </w:r>
      <w:r>
        <w:rPr>
          <w:rFonts w:ascii="Times New Roman" w:hAnsi="Times New Roman"/>
          <w:sz w:val="28"/>
          <w:szCs w:val="28"/>
        </w:rPr>
        <w:t xml:space="preserve">№ 331 «</w:t>
      </w:r>
      <w:r>
        <w:rPr>
          <w:rFonts w:ascii="Times New Roman" w:hAnsi="Times New Roman"/>
          <w:sz w:val="28"/>
          <w:szCs w:val="28"/>
        </w:rPr>
        <w:t xml:space="preserve">О Межведомственном координационном совете по повышению финансовой грамотности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06.11.2020 </w:t>
      </w:r>
      <w:r>
        <w:rPr>
          <w:rFonts w:ascii="Times New Roman" w:hAnsi="Times New Roman"/>
          <w:sz w:val="28"/>
          <w:szCs w:val="28"/>
        </w:rPr>
        <w:t xml:space="preserve">№ 331 «</w:t>
      </w:r>
      <w:r>
        <w:rPr>
          <w:rFonts w:ascii="Times New Roman" w:hAnsi="Times New Roman"/>
          <w:sz w:val="28"/>
          <w:szCs w:val="28"/>
        </w:rPr>
        <w:t xml:space="preserve">О Межведомственном координационном совете по повышению финансовой грамотности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3.1 раздела 3 «Порядок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формирования и работы Совета» </w:t>
      </w:r>
      <w:r>
        <w:rPr>
          <w:rFonts w:ascii="Times New Roman" w:hAnsi="Times New Roman"/>
          <w:sz w:val="28"/>
          <w:szCs w:val="28"/>
        </w:rPr>
        <w:t xml:space="preserve">Положения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Межведомственном координационном совете по повышению финансовой грамотности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>
        <w:rPr>
          <w:rFonts w:ascii="Times New Roman" w:hAnsi="Times New Roman" w:cs="Times New Roman"/>
          <w:sz w:val="28"/>
          <w:szCs w:val="28"/>
        </w:rPr>
        <w:t xml:space="preserve">Совет формируется в составе председателя, сопредседателя и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1.2. В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пункте 3.3 раздела 3 «Порядок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формирования и работы Совета» </w:t>
      </w:r>
      <w:r>
        <w:rPr>
          <w:rFonts w:ascii="Times New Roman" w:hAnsi="Times New Roman"/>
          <w:sz w:val="28"/>
          <w:szCs w:val="28"/>
        </w:rPr>
        <w:t xml:space="preserve">Положения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Межведомственном координационном совете по повышению финансовой грамотности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вышеуказанным постановлением слова «</w:t>
      </w:r>
      <w:r>
        <w:rPr>
          <w:rFonts w:ascii="Times New Roman" w:hAnsi="Times New Roman"/>
          <w:sz w:val="28"/>
          <w:szCs w:val="28"/>
        </w:rPr>
        <w:t xml:space="preserve">по представлению департамента экономики правительства области</w:t>
      </w:r>
      <w:r>
        <w:rPr>
          <w:rFonts w:ascii="Times New Roman" w:hAnsi="Times New Roman"/>
          <w:sz w:val="28"/>
          <w:szCs w:val="28"/>
        </w:rPr>
        <w:t xml:space="preserve">» заменить на слова «</w:t>
      </w:r>
      <w:r>
        <w:rPr>
          <w:rFonts w:ascii="Times New Roman" w:hAnsi="Times New Roman"/>
          <w:sz w:val="28"/>
          <w:szCs w:val="28"/>
        </w:rPr>
        <w:t xml:space="preserve">по 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</w:t>
      </w:r>
      <w:r>
        <w:rPr>
          <w:rFonts w:ascii="Times New Roman" w:hAnsi="Times New Roman"/>
          <w:sz w:val="28"/>
          <w:szCs w:val="28"/>
        </w:rPr>
        <w:t xml:space="preserve"> финансов </w:t>
      </w:r>
      <w:r>
        <w:rPr>
          <w:rFonts w:ascii="Times New Roman" w:hAnsi="Times New Roman"/>
          <w:sz w:val="28"/>
          <w:szCs w:val="28"/>
        </w:rPr>
        <w:t xml:space="preserve">правительства области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1.3.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3.7 раздела 3 «Порядок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формирования и работы Совета» </w:t>
      </w:r>
      <w:r>
        <w:rPr>
          <w:rFonts w:ascii="Times New Roman" w:hAnsi="Times New Roman"/>
          <w:sz w:val="28"/>
          <w:szCs w:val="28"/>
        </w:rPr>
        <w:t xml:space="preserve">Положения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Межведомственном координационном совете по повышению финансовой грамотности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«3.7.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Организационно-техническое обеспечение деятельности Совета осуществляется департаментом </w:t>
      </w:r>
      <w:r>
        <w:rPr>
          <w:rFonts w:ascii="Times New Roman" w:hAnsi="Times New Roman"/>
          <w:sz w:val="28"/>
          <w:szCs w:val="28"/>
        </w:rPr>
        <w:t xml:space="preserve">финансов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правительства области.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1.4.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Межведомственного координационного совета по повышению финансовой грамотности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</w:t>
      </w:r>
      <w:r>
        <w:rPr>
          <w:rFonts w:ascii="Times New Roman" w:hAnsi="Times New Roman"/>
          <w:sz w:val="28"/>
          <w:szCs w:val="28"/>
          <w:lang w:eastAsia="ru-RU"/>
        </w:rPr>
        <w:t xml:space="preserve">ый</w:t>
      </w:r>
      <w:r>
        <w:rPr>
          <w:rFonts w:ascii="Times New Roman" w:hAnsi="Times New Roman"/>
          <w:sz w:val="28"/>
          <w:szCs w:val="28"/>
          <w:lang w:eastAsia="ru-RU"/>
        </w:rPr>
        <w:t xml:space="preserve"> вышеуказанным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/>
    </w:p>
    <w:p>
      <w:pPr>
        <w:pStyle w:val="821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«Состав </w:t>
      </w:r>
      <w:r>
        <w:rPr>
          <w:rFonts w:ascii="Times New Roman" w:hAnsi="Times New Roman"/>
          <w:sz w:val="28"/>
          <w:szCs w:val="28"/>
        </w:rPr>
        <w:t xml:space="preserve">Межведомственного координационного совета по повышению финансовой грамотности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21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645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21"/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Садаев </w:t>
              <w:br/>
              <w:t xml:space="preserve">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pStyle w:val="821"/>
              <w:ind w:right="-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Еврейской автономной области - начальник департамента финансов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21"/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Тришкина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Ирина Геннадьевна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pStyle w:val="821"/>
              <w:ind w:right="-1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управляющий Отделением по Еврейской автономной области Дальневосточного главного управления Центрального банка Российской Федерации, сопредседатель координационного Совета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Совета: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pStyle w:val="821"/>
              <w:ind w:right="-1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Андросова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Наталия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руководитель Управления Федеральной налоговой службы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Баженова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Наталья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ректор федерального государственного бюджетного образовательного учреждения высшего образования «Приамурский государственный университет имени Шолом-Алейхема»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Витютнева </w:t>
              <w:br/>
              <w:t xml:space="preserve">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начальник департамента экономики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Глазырина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управляющего Отделением Пенсионного фонда Российской Федерации по Хабаровскому краю и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Еремеев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Кирилл Игоревич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первый заместитель начальника департамента социальной защиты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Казакова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Ольга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генеральный директор некоммерческой организации - Фонда «Микрокредитная компания Еврейской автономной области»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Карачун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Мария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департамента образования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Кованева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Светлана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начальник департамента цифрового развития и связи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Кузьмина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Наталья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ректор областного государственного автономного образовательного учреждения дополнительного профессионального образования «Институт развития образования Еврейской автономной области»;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Лунев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Андрей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руководитель Управления Федеральной антимонопольной службы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Пастухов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Вячеслав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Уполномоченный по защите прав предпринимателей в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Пронина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Надежда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начальник экономического отдела Отделения по Еврейской автономной области Дальневосточного главного управления Центрального банка Российской Федерации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Ткачев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Евгений Сергеевич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Управления Министерства внутренних дел России по Еврейской автономной области - начальник полиции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Удинкан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Ирина Петровна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отдела организационно-кадровой работы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Фраш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 Эдуардович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директор областного государственного бюджетного учреждения дополнительного образования «Центр «МОСТ»;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Цыбрук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Анастасия Алексеевна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руководителя Управления Федерального казначейства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Юркин</w:t>
            </w:r>
            <w:r>
              <w:rPr>
                <w:rFonts w:ascii="Times New Roman" w:hAnsi="Times New Roman" w:cs="Times New Roman"/>
                <w:lang w:eastAsia="ru-RU"/>
                <w14:ligatures w14:val="none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Михаил Олегович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  <w14:ligatures w14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генеральный директор некоммерческой организации - Фонда «Инвестиционное агентство Еврейской автономной области» (по согласованию).».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2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Губернатор</w:t>
      </w:r>
      <w:r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Р.Э. Гольдштейн</w:t>
      </w: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6">
    <w:name w:val="Heading 1 Char"/>
    <w:link w:val="645"/>
    <w:uiPriority w:val="9"/>
    <w:rPr>
      <w:rFonts w:ascii="Arial" w:hAnsi="Arial" w:eastAsia="Arial" w:cs="Arial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8">
    <w:name w:val="Heading 2 Char"/>
    <w:link w:val="647"/>
    <w:uiPriority w:val="9"/>
    <w:rPr>
      <w:rFonts w:ascii="Arial" w:hAnsi="Arial" w:eastAsia="Arial" w:cs="Arial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0">
    <w:name w:val="Heading 3 Char"/>
    <w:link w:val="649"/>
    <w:uiPriority w:val="9"/>
    <w:rPr>
      <w:rFonts w:ascii="Arial" w:hAnsi="Arial" w:eastAsia="Arial" w:cs="Arial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2">
    <w:name w:val="Heading 4 Char"/>
    <w:link w:val="651"/>
    <w:uiPriority w:val="9"/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4">
    <w:name w:val="Heading 5 Char"/>
    <w:link w:val="65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No Spacing"/>
    <w:basedOn w:val="821"/>
    <w:uiPriority w:val="1"/>
    <w:qFormat/>
    <w:pPr>
      <w:spacing w:after="0" w:line="240" w:lineRule="auto"/>
    </w:pPr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character" w:styleId="8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2023-07-03T01:45:31Z</dcterms:modified>
</cp:coreProperties>
</file>